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color w:val="1f3864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f3864"/>
          <w:sz w:val="22"/>
          <w:szCs w:val="22"/>
          <w:rtl w:val="0"/>
        </w:rPr>
        <w:t xml:space="preserve">Organizaciones de la Sociedad Civil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color w:val="1f3864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f3864"/>
          <w:sz w:val="22"/>
          <w:szCs w:val="22"/>
          <w:rtl w:val="0"/>
        </w:rPr>
        <w:t xml:space="preserve">Recuerda que éstas son las obligaciones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f3864"/>
          <w:rtl w:val="0"/>
        </w:rPr>
        <w:t xml:space="preserve">de junio: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entury Gothic" w:cs="Century Gothic" w:eastAsia="Century Gothic" w:hAnsi="Century Gothic"/>
          <w:b w:val="1"/>
          <w:color w:val="1f3864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f3864"/>
          <w:sz w:val="22"/>
          <w:szCs w:val="22"/>
          <w:u w:val="single"/>
          <w:rtl w:val="0"/>
        </w:rPr>
        <w:t xml:space="preserve">Donatarias Autorizadas:</w:t>
      </w:r>
    </w:p>
    <w:p w:rsidR="00000000" w:rsidDel="00000000" w:rsidP="00000000" w:rsidRDefault="00000000" w:rsidRPr="00000000" w14:paraId="00000006">
      <w:pPr>
        <w:jc w:val="both"/>
        <w:rPr>
          <w:rFonts w:ascii="Century Gothic" w:cs="Century Gothic" w:eastAsia="Century Gothic" w:hAnsi="Century Gothic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1f3864"/>
          <w:sz w:val="20"/>
          <w:szCs w:val="20"/>
          <w:rtl w:val="0"/>
        </w:rPr>
        <w:t xml:space="preserve">1.- A partir del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f3864"/>
          <w:sz w:val="20"/>
          <w:szCs w:val="20"/>
          <w:rtl w:val="0"/>
        </w:rPr>
        <w:t xml:space="preserve">1 de junio</w:t>
      </w:r>
      <w:r w:rsidDel="00000000" w:rsidR="00000000" w:rsidRPr="00000000">
        <w:rPr>
          <w:rFonts w:ascii="Century Gothic" w:cs="Century Gothic" w:eastAsia="Century Gothic" w:hAnsi="Century Gothic"/>
          <w:color w:val="1f3864"/>
          <w:sz w:val="20"/>
          <w:szCs w:val="20"/>
          <w:rtl w:val="0"/>
        </w:rPr>
        <w:t xml:space="preserve"> deberán presentar el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f3864"/>
          <w:sz w:val="20"/>
          <w:szCs w:val="20"/>
          <w:rtl w:val="0"/>
        </w:rPr>
        <w:t xml:space="preserve">Informe de transparencia</w:t>
      </w:r>
      <w:r w:rsidDel="00000000" w:rsidR="00000000" w:rsidRPr="00000000">
        <w:rPr>
          <w:rFonts w:ascii="Century Gothic" w:cs="Century Gothic" w:eastAsia="Century Gothic" w:hAnsi="Century Gothic"/>
          <w:color w:val="1f3864"/>
          <w:sz w:val="20"/>
          <w:szCs w:val="20"/>
          <w:rtl w:val="0"/>
        </w:rPr>
        <w:t xml:space="preserve"> del ejercicio 2019. Tienes hasta el 31 de julio para presentarlo. </w:t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1f3864"/>
          <w:sz w:val="20"/>
          <w:szCs w:val="20"/>
          <w:rtl w:val="0"/>
        </w:rPr>
        <w:t xml:space="preserve">2.- Presentar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f3864"/>
          <w:sz w:val="20"/>
          <w:szCs w:val="20"/>
          <w:rtl w:val="0"/>
        </w:rPr>
        <w:t xml:space="preserve">Informe final por los sismos 2017</w:t>
      </w:r>
      <w:r w:rsidDel="00000000" w:rsidR="00000000" w:rsidRPr="00000000">
        <w:rPr>
          <w:rFonts w:ascii="Century Gothic" w:cs="Century Gothic" w:eastAsia="Century Gothic" w:hAnsi="Century Gothic"/>
          <w:color w:val="1f3864"/>
          <w:sz w:val="20"/>
          <w:szCs w:val="20"/>
          <w:rtl w:val="0"/>
        </w:rPr>
        <w:t xml:space="preserve">, solo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f3864"/>
          <w:sz w:val="20"/>
          <w:szCs w:val="20"/>
          <w:rtl w:val="0"/>
        </w:rPr>
        <w:t xml:space="preserve">SÍ</w:t>
      </w:r>
      <w:r w:rsidDel="00000000" w:rsidR="00000000" w:rsidRPr="00000000">
        <w:rPr>
          <w:rFonts w:ascii="Century Gothic" w:cs="Century Gothic" w:eastAsia="Century Gothic" w:hAnsi="Century Gothic"/>
          <w:color w:val="1f3864"/>
          <w:sz w:val="20"/>
          <w:szCs w:val="20"/>
          <w:rtl w:val="0"/>
        </w:rPr>
        <w:t xml:space="preserve"> la organización recibió donativos para atender la contingencia. Tienes hasta el 31 de julio para presentarlo. </w:t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3.- Las organizaciones que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hayan otorgado apoyos económicos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 a organizaciones no donatarias y cuyo objeto social sea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realizar labores de rescate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y reconstrucción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 en casos de desastres naturales, deberán presentar dentro del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informe anual de transparencia un listado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 con el nombre, denominación o razón social y RFC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de las organizaciones no donatarias a las cuales se les otorgó el donativo en los plazos señalados.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4.- Las organizaciones que recibieron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ingresos de 2 millones de pesos o menos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 durante el ejercicio fiscal  tienen la facilidad administrativa </w:t>
      </w:r>
      <w:r w:rsidDel="00000000" w:rsidR="00000000" w:rsidRPr="00000000">
        <w:rPr>
          <w:rFonts w:ascii="Century Gothic" w:cs="Century Gothic" w:eastAsia="Century Gothic" w:hAnsi="Century Gothic"/>
          <w:color w:val="1f3864"/>
          <w:sz w:val="20"/>
          <w:szCs w:val="20"/>
          <w:rtl w:val="0"/>
        </w:rPr>
        <w:t xml:space="preserve">de presentar sus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 ingresos y gastos  a través de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“Mis Cuentas”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 en el portal del SAT. Si obtuviste más de 2 millones de pesos, deberás presentar tu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f3864"/>
            <w:sz w:val="20"/>
            <w:szCs w:val="20"/>
            <w:u w:val="none"/>
            <w:shd w:fill="auto" w:val="clear"/>
            <w:vertAlign w:val="baseline"/>
            <w:rtl w:val="0"/>
          </w:rPr>
          <w:t xml:space="preserve">contabilidad electrónica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 con el envío de tu balanza electrónica.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1f3864"/>
          <w:sz w:val="20"/>
          <w:szCs w:val="20"/>
          <w:rtl w:val="0"/>
        </w:rPr>
        <w:t xml:space="preserve">5.- Las donatarias autorizadas que se recibieron los ingresos por concepto de venta de bienes, servicios y arrendamiento no gravarán IVA, es decir, no lo acreditan y por lo tanto deberán pagarlo como si fueran el consumidor final.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entury Gothic" w:cs="Century Gothic" w:eastAsia="Century Gothic" w:hAnsi="Century Gothic"/>
          <w:b w:val="1"/>
          <w:color w:val="1f3864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f3864"/>
          <w:sz w:val="22"/>
          <w:szCs w:val="22"/>
          <w:u w:val="single"/>
          <w:rtl w:val="0"/>
        </w:rPr>
        <w:t xml:space="preserve">Todas las organizaciones:</w:t>
      </w:r>
    </w:p>
    <w:p w:rsidR="00000000" w:rsidDel="00000000" w:rsidP="00000000" w:rsidRDefault="00000000" w:rsidRPr="00000000" w14:paraId="00000012">
      <w:pPr>
        <w:jc w:val="both"/>
        <w:rPr>
          <w:rFonts w:ascii="Century Gothic" w:cs="Century Gothic" w:eastAsia="Century Gothic" w:hAnsi="Century Gothic"/>
          <w:color w:val="1f386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1f3864"/>
          <w:sz w:val="20"/>
          <w:szCs w:val="20"/>
          <w:rtl w:val="0"/>
        </w:rPr>
        <w:t xml:space="preserve">A más tardar el 17 de junio deberán:</w:t>
      </w:r>
    </w:p>
    <w:p w:rsidR="00000000" w:rsidDel="00000000" w:rsidP="00000000" w:rsidRDefault="00000000" w:rsidRPr="00000000" w14:paraId="00000014">
      <w:pPr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Enterar y presentar retenciones de IVA e ISR.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Enterar y presentar retenciones de ISR por sueldos, salarios y asimilados.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Informar al SAT de donativos que superen los 100 mil pesos.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Presentar aviso de Prevención de Lavado de Dinero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entury Gothic" w:cs="Century Gothic" w:eastAsia="Century Gothic" w:hAnsi="Century Gothic"/>
          <w:i w:val="1"/>
          <w:color w:val="1f3864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1f3864"/>
          <w:sz w:val="20"/>
          <w:szCs w:val="20"/>
          <w:rtl w:val="0"/>
        </w:rPr>
        <w:t xml:space="preserve">Además, en todo momento deberás:</w:t>
      </w:r>
    </w:p>
    <w:p w:rsidR="00000000" w:rsidDel="00000000" w:rsidP="00000000" w:rsidRDefault="00000000" w:rsidRPr="00000000" w14:paraId="0000001B">
      <w:pPr>
        <w:jc w:val="both"/>
        <w:rPr>
          <w:rFonts w:ascii="Century Gothic" w:cs="Century Gothic" w:eastAsia="Century Gothic" w:hAnsi="Century Gothic"/>
          <w:i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Integrar un expediente del donante.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Informar al SAT si tus datos de contacto cambiaron, hubo modificación en sus estatutos o cualquier otro requisito que se hubiere considerado para otorgar la autorización respectiva. Tienes 10 días después del cambio.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Las donatarias autorizadas, deben mantener siempre vigente el documento que acredite sus actividades y avisar al SAT su renovación antes de su vencimiento. (</w:t>
      </w:r>
      <w:r w:rsidDel="00000000" w:rsidR="00000000" w:rsidRPr="00000000">
        <w:rPr>
          <w:rFonts w:ascii="Century Gothic" w:cs="Century Gothic" w:eastAsia="Century Gothic" w:hAnsi="Century Gothic"/>
          <w:color w:val="1f3864"/>
          <w:sz w:val="20"/>
          <w:szCs w:val="20"/>
          <w:rtl w:val="0"/>
        </w:rPr>
        <w:t xml:space="preserve">La carta de acreditación tiene una vigencia de 3 años)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284" w:firstLine="0"/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284" w:firstLine="0"/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284" w:firstLine="0"/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284" w:firstLine="0"/>
        <w:jc w:val="both"/>
        <w:rPr>
          <w:rFonts w:ascii="Century Gothic" w:cs="Century Gothic" w:eastAsia="Century Gothic" w:hAnsi="Century Gothic"/>
          <w:color w:val="1f3864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1f3864"/>
          <w:sz w:val="20"/>
          <w:szCs w:val="20"/>
          <w:rtl w:val="0"/>
        </w:rPr>
        <w:t xml:space="preserve">Contáctanos en nuestras redes sociales: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-163922</wp:posOffset>
            </wp:positionH>
            <wp:positionV relativeFrom="paragraph">
              <wp:posOffset>164465</wp:posOffset>
            </wp:positionV>
            <wp:extent cx="164892" cy="164892"/>
            <wp:effectExtent b="0" l="0" r="0" t="0"/>
            <wp:wrapSquare wrapText="bothSides" distB="0" distT="0" distL="114300" distR="11430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892" cy="1648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color w:val="1f3864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1f3864"/>
          <w:sz w:val="18"/>
          <w:szCs w:val="18"/>
          <w:rtl w:val="0"/>
        </w:rPr>
        <w:t xml:space="preserve">mexicoappleseed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-170315</wp:posOffset>
            </wp:positionH>
            <wp:positionV relativeFrom="paragraph">
              <wp:posOffset>139207</wp:posOffset>
            </wp:positionV>
            <wp:extent cx="207604" cy="202367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04" cy="2023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color w:val="1f3864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1f3864"/>
          <w:sz w:val="18"/>
          <w:szCs w:val="18"/>
          <w:rtl w:val="0"/>
        </w:rPr>
        <w:t xml:space="preserve">@AppleseedMexico</w:t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color w:val="1f386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entury Gothic" w:cs="Century Gothic" w:eastAsia="Century Gothic" w:hAnsi="Century Gothic"/>
          <w:color w:val="1f3864"/>
          <w:sz w:val="18"/>
          <w:szCs w:val="18"/>
          <w:rtl w:val="0"/>
        </w:rPr>
        <w:t xml:space="preserve">appleseedmexicoac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-143768</wp:posOffset>
            </wp:positionH>
            <wp:positionV relativeFrom="paragraph">
              <wp:posOffset>78740</wp:posOffset>
            </wp:positionV>
            <wp:extent cx="164465" cy="164465"/>
            <wp:effectExtent b="0" l="0" r="0" t="0"/>
            <wp:wrapSquare wrapText="bothSides" distB="0" distT="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color w:val="1f3864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1f3864"/>
          <w:sz w:val="18"/>
          <w:szCs w:val="18"/>
          <w:rtl w:val="0"/>
        </w:rPr>
        <w:t xml:space="preserve">Red-pro-bono-mexico</w:t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color w:val="1f3864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-166369</wp:posOffset>
            </wp:positionH>
            <wp:positionV relativeFrom="paragraph">
              <wp:posOffset>137795</wp:posOffset>
            </wp:positionV>
            <wp:extent cx="187325" cy="18732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color w:val="1f3864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1f3864"/>
          <w:sz w:val="18"/>
          <w:szCs w:val="18"/>
          <w:rtl w:val="0"/>
        </w:rPr>
        <w:t xml:space="preserve">info@appleseedmexico.org</w:t>
      </w:r>
    </w:p>
    <w:sectPr>
      <w:headerReference r:id="rId12" w:type="default"/>
      <w:footerReference r:id="rId13" w:type="default"/>
      <w:pgSz w:h="15840" w:w="12240"/>
      <w:pgMar w:bottom="1134" w:top="1418" w:left="1418" w:right="1418" w:header="709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  <w:rtl w:val="0"/>
      </w:rPr>
      <w:t xml:space="preserve">Fundación Appleseed México, A.C., Enrique Rébsamen 415-11, Col. Narvarte Poniente, Alcaldía Benito Juárez, 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  <w:rtl w:val="0"/>
      </w:rPr>
      <w:t xml:space="preserve">C.P. 03020, Ciudad de México.   Sitio web: </w:t>
    </w:r>
    <w:hyperlink r:id="rId1"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2060"/>
          <w:sz w:val="16"/>
          <w:szCs w:val="16"/>
          <w:u w:val="single"/>
          <w:shd w:fill="auto" w:val="clear"/>
          <w:vertAlign w:val="baseline"/>
          <w:rtl w:val="0"/>
        </w:rPr>
        <w:t xml:space="preserve">www.appleseedmexico.org/</w:t>
      </w:r>
    </w:hyperlink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  <w:rtl w:val="0"/>
      </w:rPr>
      <w:t xml:space="preserve">   Email: info@appleseedmexico.org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15"/>
          <w:szCs w:val="15"/>
          <w:u w:val="none"/>
          <w:shd w:fill="auto" w:val="clear"/>
          <w:vertAlign w:val="baseline"/>
          <w:rtl w:val="0"/>
        </w:rPr>
        <w:t xml:space="preserve">Si se recibió un donativo o varios de un mismo donante en un periodo de 6 meses y estos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15"/>
          <w:szCs w:val="15"/>
          <w:u w:val="none"/>
          <w:shd w:fill="auto" w:val="clear"/>
          <w:vertAlign w:val="baseline"/>
          <w:rtl w:val="0"/>
        </w:rPr>
        <w:t xml:space="preserve">sumen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15"/>
          <w:szCs w:val="15"/>
          <w:u w:val="none"/>
          <w:shd w:fill="auto" w:val="clear"/>
          <w:vertAlign w:val="baseline"/>
          <w:rtl w:val="0"/>
        </w:rPr>
        <w:t xml:space="preserve"> un valor superior de 3,210 UMA ($278,884.80 MXN).</w:t>
      </w:r>
    </w:p>
  </w:footnote>
  <w:footnote w:id="1"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1f3864"/>
          <w:sz w:val="15"/>
          <w:szCs w:val="15"/>
          <w:u w:val="none"/>
          <w:shd w:fill="auto" w:val="clear"/>
          <w:vertAlign w:val="baseline"/>
          <w:rtl w:val="0"/>
        </w:rPr>
        <w:t xml:space="preserve">S se recibió un donativo o varios durante 6 meses y superan la cantidad de 1,605 UMA ($139,442.4 MXN).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color w:val="1f3864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color w:val="1f3864"/>
          <w:sz w:val="15"/>
          <w:szCs w:val="15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35697" cy="484576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5697" cy="4845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omawww.sat.gob.mx/contabilidadelectronica/Paginas/documentos/infografia.pdf" TargetMode="External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ppleseedmexico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